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C978A" w14:textId="77777777" w:rsidR="002E54F0" w:rsidRDefault="002E54F0" w:rsidP="002E54F0">
      <w:pPr>
        <w:jc w:val="center"/>
      </w:pPr>
      <w:r>
        <w:rPr>
          <w:b/>
          <w:sz w:val="32"/>
        </w:rPr>
        <w:t>Australian NIPT Providers and Genetic Counselling Services</w:t>
      </w:r>
    </w:p>
    <w:p w14:paraId="11CE54BD" w14:textId="77777777" w:rsidR="002E54F0" w:rsidRDefault="002E54F0" w:rsidP="002E54F0">
      <w:pPr>
        <w:jc w:val="center"/>
      </w:pPr>
      <w:r>
        <w:rPr>
          <w:i/>
        </w:rPr>
        <w:t>Contact pathways and genetic counselling information – August 2026</w:t>
      </w:r>
    </w:p>
    <w:p w14:paraId="339594B4" w14:textId="77777777" w:rsidR="002E54F0" w:rsidRDefault="002E54F0" w:rsidP="002E54F0">
      <w:r>
        <w:rPr>
          <w:b/>
        </w:rPr>
        <w:t xml:space="preserve">Note: </w:t>
      </w:r>
      <w:r>
        <w:t xml:space="preserve">This table </w:t>
      </w:r>
      <w:proofErr w:type="spellStart"/>
      <w:r>
        <w:t>summarises</w:t>
      </w:r>
      <w:proofErr w:type="spellEnd"/>
      <w:r>
        <w:t xml:space="preserve"> publicly available information. Service arrangements, eligibility and contact pathways can change; confirm directly with the provider before relying on the information clinically.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61"/>
        <w:gridCol w:w="2286"/>
        <w:gridCol w:w="4045"/>
        <w:gridCol w:w="3563"/>
        <w:gridCol w:w="2682"/>
      </w:tblGrid>
      <w:tr w:rsidR="002E54F0" w14:paraId="2846CB72" w14:textId="77777777" w:rsidTr="00700B07">
        <w:trPr>
          <w:jc w:val="center"/>
        </w:trPr>
        <w:tc>
          <w:tcPr>
            <w:tcW w:w="2088" w:type="dxa"/>
            <w:shd w:val="clear" w:color="auto" w:fill="C5E0B3" w:themeFill="accent6" w:themeFillTint="66"/>
          </w:tcPr>
          <w:p w14:paraId="0C768028" w14:textId="77777777" w:rsidR="002E54F0" w:rsidRDefault="002E54F0" w:rsidP="009D7BA6">
            <w:r>
              <w:rPr>
                <w:b/>
                <w:sz w:val="16"/>
              </w:rPr>
              <w:t>NIPT test</w:t>
            </w:r>
          </w:p>
        </w:tc>
        <w:tc>
          <w:tcPr>
            <w:tcW w:w="2448" w:type="dxa"/>
            <w:shd w:val="clear" w:color="auto" w:fill="C5E0B3" w:themeFill="accent6" w:themeFillTint="66"/>
          </w:tcPr>
          <w:p w14:paraId="391F2BF0" w14:textId="77777777" w:rsidR="002E54F0" w:rsidRDefault="002E54F0" w:rsidP="009D7BA6">
            <w:r>
              <w:rPr>
                <w:b/>
                <w:sz w:val="16"/>
              </w:rPr>
              <w:t>Company / Australian provider</w:t>
            </w:r>
          </w:p>
        </w:tc>
        <w:tc>
          <w:tcPr>
            <w:tcW w:w="4392" w:type="dxa"/>
            <w:shd w:val="clear" w:color="auto" w:fill="C5E0B3" w:themeFill="accent6" w:themeFillTint="66"/>
          </w:tcPr>
          <w:p w14:paraId="7BE572DF" w14:textId="77777777" w:rsidR="002E54F0" w:rsidRDefault="002E54F0" w:rsidP="009D7BA6">
            <w:r>
              <w:rPr>
                <w:b/>
                <w:sz w:val="16"/>
              </w:rPr>
              <w:t>Genetic counselling available?</w:t>
            </w:r>
          </w:p>
        </w:tc>
        <w:tc>
          <w:tcPr>
            <w:tcW w:w="3672" w:type="dxa"/>
            <w:shd w:val="clear" w:color="auto" w:fill="C5E0B3" w:themeFill="accent6" w:themeFillTint="66"/>
          </w:tcPr>
          <w:p w14:paraId="2C74C94D" w14:textId="77777777" w:rsidR="002E54F0" w:rsidRDefault="002E54F0" w:rsidP="009D7BA6">
            <w:r>
              <w:rPr>
                <w:b/>
                <w:sz w:val="16"/>
              </w:rPr>
              <w:t>Contact for genetic counselling / enquiries</w:t>
            </w:r>
          </w:p>
        </w:tc>
        <w:tc>
          <w:tcPr>
            <w:tcW w:w="2880" w:type="dxa"/>
            <w:shd w:val="clear" w:color="auto" w:fill="C5E0B3" w:themeFill="accent6" w:themeFillTint="66"/>
          </w:tcPr>
          <w:p w14:paraId="175B6538" w14:textId="77777777" w:rsidR="002E54F0" w:rsidRDefault="002E54F0" w:rsidP="009D7BA6">
            <w:r>
              <w:rPr>
                <w:b/>
                <w:sz w:val="16"/>
              </w:rPr>
              <w:t>Genetic counselling information</w:t>
            </w:r>
          </w:p>
        </w:tc>
      </w:tr>
      <w:tr w:rsidR="002E54F0" w14:paraId="1ED78A29" w14:textId="77777777" w:rsidTr="009D7BA6">
        <w:trPr>
          <w:jc w:val="center"/>
        </w:trPr>
        <w:tc>
          <w:tcPr>
            <w:tcW w:w="2088" w:type="dxa"/>
          </w:tcPr>
          <w:p w14:paraId="3EF78D6F" w14:textId="77777777" w:rsidR="002E54F0" w:rsidRDefault="002E54F0" w:rsidP="009D7BA6">
            <w:r>
              <w:rPr>
                <w:sz w:val="15"/>
              </w:rPr>
              <w:t>Generation / Generation 46 / Generation Plus</w:t>
            </w:r>
          </w:p>
        </w:tc>
        <w:tc>
          <w:tcPr>
            <w:tcW w:w="2448" w:type="dxa"/>
          </w:tcPr>
          <w:p w14:paraId="39F9BDEE" w14:textId="77777777" w:rsidR="002E54F0" w:rsidRDefault="002E54F0" w:rsidP="009D7BA6">
            <w:r>
              <w:rPr>
                <w:sz w:val="15"/>
              </w:rPr>
              <w:t>Genomic Diagnostics</w:t>
            </w:r>
          </w:p>
        </w:tc>
        <w:tc>
          <w:tcPr>
            <w:tcW w:w="4392" w:type="dxa"/>
          </w:tcPr>
          <w:p w14:paraId="3CF82ECD" w14:textId="77777777" w:rsidR="002E54F0" w:rsidRDefault="002E54F0" w:rsidP="009D7BA6">
            <w:r>
              <w:rPr>
                <w:sz w:val="15"/>
              </w:rPr>
              <w:t>Yes – genetic counselling is available for high-probability/high-risk results; public Australian resources describe counselling at no additional cost following clinician referral.</w:t>
            </w:r>
          </w:p>
        </w:tc>
        <w:tc>
          <w:tcPr>
            <w:tcW w:w="3672" w:type="dxa"/>
          </w:tcPr>
          <w:p w14:paraId="18283210" w14:textId="77777777" w:rsidR="002E54F0" w:rsidRDefault="002E54F0" w:rsidP="009D7BA6">
            <w:r>
              <w:rPr>
                <w:sz w:val="15"/>
              </w:rPr>
              <w:t>Customer Care: 1800 822 999. High-risk counselling is generally initiated by the clinician/requesting service.</w:t>
            </w:r>
          </w:p>
        </w:tc>
        <w:tc>
          <w:tcPr>
            <w:tcW w:w="2880" w:type="dxa"/>
          </w:tcPr>
          <w:p w14:paraId="59153D25" w14:textId="77777777" w:rsidR="002E54F0" w:rsidRDefault="002E54F0" w:rsidP="009D7BA6">
            <w:hyperlink r:id="rId6">
              <w:r>
                <w:rPr>
                  <w:color w:val="0563C1"/>
                  <w:u w:val="single"/>
                </w:rPr>
                <w:t>Genomic Diagnostics – Genetic Counselling</w:t>
              </w:r>
            </w:hyperlink>
          </w:p>
        </w:tc>
      </w:tr>
      <w:tr w:rsidR="002E54F0" w14:paraId="2C6D24C8" w14:textId="77777777" w:rsidTr="009D7BA6">
        <w:trPr>
          <w:jc w:val="center"/>
        </w:trPr>
        <w:tc>
          <w:tcPr>
            <w:tcW w:w="2088" w:type="dxa"/>
          </w:tcPr>
          <w:p w14:paraId="4DDC18F1" w14:textId="77777777" w:rsidR="002E54F0" w:rsidRDefault="002E54F0" w:rsidP="009D7BA6">
            <w:r>
              <w:rPr>
                <w:sz w:val="15"/>
              </w:rPr>
              <w:t>Harmony</w:t>
            </w:r>
          </w:p>
        </w:tc>
        <w:tc>
          <w:tcPr>
            <w:tcW w:w="2448" w:type="dxa"/>
          </w:tcPr>
          <w:p w14:paraId="0FB5AB6C" w14:textId="77777777" w:rsidR="002E54F0" w:rsidRDefault="002E54F0" w:rsidP="009D7BA6">
            <w:r>
              <w:rPr>
                <w:sz w:val="15"/>
              </w:rPr>
              <w:t>Australian Clinical Labs</w:t>
            </w:r>
          </w:p>
        </w:tc>
        <w:tc>
          <w:tcPr>
            <w:tcW w:w="4392" w:type="dxa"/>
          </w:tcPr>
          <w:p w14:paraId="477E07DB" w14:textId="77777777" w:rsidR="002E54F0" w:rsidRDefault="002E54F0" w:rsidP="009D7BA6">
            <w:r>
              <w:rPr>
                <w:sz w:val="15"/>
              </w:rPr>
              <w:t>Yes – a genetic counselling session is available following a high-probability result; Australian resources describe access within approximately 48 hours and at no additional cost.</w:t>
            </w:r>
          </w:p>
        </w:tc>
        <w:tc>
          <w:tcPr>
            <w:tcW w:w="3672" w:type="dxa"/>
          </w:tcPr>
          <w:p w14:paraId="49002A2F" w14:textId="77777777" w:rsidR="002E54F0" w:rsidRDefault="002E54F0" w:rsidP="009D7BA6">
            <w:r>
              <w:rPr>
                <w:sz w:val="15"/>
              </w:rPr>
              <w:t>Referral/access is generally arranged through the requesting clinician / Australian Clinical Labs.</w:t>
            </w:r>
          </w:p>
        </w:tc>
        <w:tc>
          <w:tcPr>
            <w:tcW w:w="2880" w:type="dxa"/>
          </w:tcPr>
          <w:p w14:paraId="265F2DCF" w14:textId="77777777" w:rsidR="002E54F0" w:rsidRDefault="002E54F0" w:rsidP="009D7BA6">
            <w:hyperlink r:id="rId7">
              <w:r>
                <w:rPr>
                  <w:color w:val="0563C1"/>
                  <w:u w:val="single"/>
                </w:rPr>
                <w:t>Australian Clinical Labs – Harmony</w:t>
              </w:r>
            </w:hyperlink>
          </w:p>
        </w:tc>
      </w:tr>
      <w:tr w:rsidR="002E54F0" w14:paraId="4562B987" w14:textId="77777777" w:rsidTr="009D7BA6">
        <w:trPr>
          <w:jc w:val="center"/>
        </w:trPr>
        <w:tc>
          <w:tcPr>
            <w:tcW w:w="2088" w:type="dxa"/>
          </w:tcPr>
          <w:p w14:paraId="7228EA8A" w14:textId="77777777" w:rsidR="002E54F0" w:rsidRDefault="002E54F0" w:rsidP="009D7BA6">
            <w:r>
              <w:rPr>
                <w:sz w:val="15"/>
              </w:rPr>
              <w:t>percept</w:t>
            </w:r>
          </w:p>
        </w:tc>
        <w:tc>
          <w:tcPr>
            <w:tcW w:w="2448" w:type="dxa"/>
          </w:tcPr>
          <w:p w14:paraId="26BAA0D4" w14:textId="77777777" w:rsidR="002E54F0" w:rsidRDefault="002E54F0" w:rsidP="009D7BA6">
            <w:r>
              <w:rPr>
                <w:sz w:val="15"/>
              </w:rPr>
              <w:t>Victorian Clinical Genetics Services (VCGS)</w:t>
            </w:r>
          </w:p>
        </w:tc>
        <w:tc>
          <w:tcPr>
            <w:tcW w:w="4392" w:type="dxa"/>
          </w:tcPr>
          <w:p w14:paraId="60B89FAF" w14:textId="77777777" w:rsidR="002E54F0" w:rsidRDefault="002E54F0" w:rsidP="009D7BA6">
            <w:r>
              <w:rPr>
                <w:sz w:val="15"/>
              </w:rPr>
              <w:t>Yes – VCGS states that all women/couples receiving a high-chance percept result have access to genetic counselling through VCGS.</w:t>
            </w:r>
          </w:p>
        </w:tc>
        <w:tc>
          <w:tcPr>
            <w:tcW w:w="3672" w:type="dxa"/>
          </w:tcPr>
          <w:p w14:paraId="25D2DF08" w14:textId="77777777" w:rsidR="002E54F0" w:rsidRDefault="002E54F0" w:rsidP="009D7BA6">
            <w:r>
              <w:rPr>
                <w:sz w:val="15"/>
              </w:rPr>
              <w:t>NIPT enquiries: 1300 118 247.</w:t>
            </w:r>
          </w:p>
        </w:tc>
        <w:tc>
          <w:tcPr>
            <w:tcW w:w="2880" w:type="dxa"/>
          </w:tcPr>
          <w:p w14:paraId="25C3034F" w14:textId="77777777" w:rsidR="002E54F0" w:rsidRDefault="002E54F0" w:rsidP="009D7BA6">
            <w:hyperlink r:id="rId8">
              <w:r>
                <w:rPr>
                  <w:color w:val="0563C1"/>
                  <w:u w:val="single"/>
                </w:rPr>
                <w:t>VCGS – percept NIPT</w:t>
              </w:r>
            </w:hyperlink>
          </w:p>
        </w:tc>
      </w:tr>
      <w:tr w:rsidR="002E54F0" w14:paraId="75BAE83E" w14:textId="77777777" w:rsidTr="009D7BA6">
        <w:trPr>
          <w:jc w:val="center"/>
        </w:trPr>
        <w:tc>
          <w:tcPr>
            <w:tcW w:w="2088" w:type="dxa"/>
          </w:tcPr>
          <w:p w14:paraId="777442FC" w14:textId="77777777" w:rsidR="002E54F0" w:rsidRDefault="002E54F0" w:rsidP="009D7BA6">
            <w:r>
              <w:rPr>
                <w:sz w:val="15"/>
              </w:rPr>
              <w:t>nest / nest+</w:t>
            </w:r>
          </w:p>
        </w:tc>
        <w:tc>
          <w:tcPr>
            <w:tcW w:w="2448" w:type="dxa"/>
          </w:tcPr>
          <w:p w14:paraId="423AC0AC" w14:textId="77777777" w:rsidR="002E54F0" w:rsidRDefault="002E54F0" w:rsidP="009D7BA6">
            <w:r>
              <w:rPr>
                <w:sz w:val="15"/>
              </w:rPr>
              <w:t>Monash IVF</w:t>
            </w:r>
          </w:p>
        </w:tc>
        <w:tc>
          <w:tcPr>
            <w:tcW w:w="4392" w:type="dxa"/>
          </w:tcPr>
          <w:p w14:paraId="62FE5B87" w14:textId="77777777" w:rsidR="002E54F0" w:rsidRDefault="002E54F0" w:rsidP="009D7BA6">
            <w:r>
              <w:rPr>
                <w:sz w:val="15"/>
              </w:rPr>
              <w:t>Yes – Australian prenatal screening resources identify genetic counselling as available for nest patients; provider arrangements should be confirmed directly.</w:t>
            </w:r>
          </w:p>
        </w:tc>
        <w:tc>
          <w:tcPr>
            <w:tcW w:w="3672" w:type="dxa"/>
          </w:tcPr>
          <w:p w14:paraId="530A2A1A" w14:textId="77777777" w:rsidR="002E54F0" w:rsidRDefault="002E54F0" w:rsidP="009D7BA6">
            <w:r>
              <w:rPr>
                <w:sz w:val="15"/>
              </w:rPr>
              <w:t>Monash IVF: 1800 628 533.</w:t>
            </w:r>
          </w:p>
        </w:tc>
        <w:tc>
          <w:tcPr>
            <w:tcW w:w="2880" w:type="dxa"/>
          </w:tcPr>
          <w:p w14:paraId="47FDFC0A" w14:textId="77777777" w:rsidR="002E54F0" w:rsidRDefault="002E54F0" w:rsidP="009D7BA6">
            <w:hyperlink r:id="rId9">
              <w:r>
                <w:rPr>
                  <w:color w:val="0563C1"/>
                  <w:u w:val="single"/>
                </w:rPr>
                <w:t>Monash IVF – NIPT</w:t>
              </w:r>
            </w:hyperlink>
          </w:p>
        </w:tc>
      </w:tr>
      <w:tr w:rsidR="002E54F0" w14:paraId="7A063E03" w14:textId="77777777" w:rsidTr="009D7BA6">
        <w:trPr>
          <w:jc w:val="center"/>
        </w:trPr>
        <w:tc>
          <w:tcPr>
            <w:tcW w:w="2088" w:type="dxa"/>
          </w:tcPr>
          <w:p w14:paraId="1E6C7FD9" w14:textId="77777777" w:rsidR="002E54F0" w:rsidRDefault="002E54F0" w:rsidP="009D7BA6">
            <w:r>
              <w:rPr>
                <w:sz w:val="15"/>
              </w:rPr>
              <w:t>Panorama</w:t>
            </w:r>
          </w:p>
        </w:tc>
        <w:tc>
          <w:tcPr>
            <w:tcW w:w="2448" w:type="dxa"/>
          </w:tcPr>
          <w:p w14:paraId="43715BE8" w14:textId="77777777" w:rsidR="002E54F0" w:rsidRDefault="002E54F0" w:rsidP="009D7BA6">
            <w:r>
              <w:rPr>
                <w:sz w:val="15"/>
              </w:rPr>
              <w:t>Virtus Genetics / Natera</w:t>
            </w:r>
          </w:p>
        </w:tc>
        <w:tc>
          <w:tcPr>
            <w:tcW w:w="4392" w:type="dxa"/>
          </w:tcPr>
          <w:p w14:paraId="6EDFB655" w14:textId="77777777" w:rsidR="002E54F0" w:rsidRDefault="002E54F0" w:rsidP="009D7BA6">
            <w:r>
              <w:rPr>
                <w:sz w:val="15"/>
              </w:rPr>
              <w:t>Yes – Virtus Genetics provides access to genetic counsellors and has a genetic counselling support/booking pathway. Fees may apply in some circumstances.</w:t>
            </w:r>
          </w:p>
        </w:tc>
        <w:tc>
          <w:tcPr>
            <w:tcW w:w="3672" w:type="dxa"/>
          </w:tcPr>
          <w:p w14:paraId="1762E007" w14:textId="77777777" w:rsidR="002E54F0" w:rsidRDefault="002E54F0" w:rsidP="009D7BA6">
            <w:r>
              <w:rPr>
                <w:sz w:val="15"/>
              </w:rPr>
              <w:t>Virtus Genetics: 1800 837 284; info@virtusgenetics.com.au.</w:t>
            </w:r>
          </w:p>
        </w:tc>
        <w:tc>
          <w:tcPr>
            <w:tcW w:w="2880" w:type="dxa"/>
          </w:tcPr>
          <w:p w14:paraId="47393DD7" w14:textId="77777777" w:rsidR="002E54F0" w:rsidRDefault="002E54F0" w:rsidP="009D7BA6">
            <w:hyperlink r:id="rId10">
              <w:r>
                <w:rPr>
                  <w:color w:val="0563C1"/>
                  <w:u w:val="single"/>
                </w:rPr>
                <w:t>Virtus Genetics – Genetic Counselling and Support</w:t>
              </w:r>
            </w:hyperlink>
          </w:p>
        </w:tc>
      </w:tr>
      <w:tr w:rsidR="002E54F0" w14:paraId="5B010794" w14:textId="77777777" w:rsidTr="009D7BA6">
        <w:trPr>
          <w:jc w:val="center"/>
        </w:trPr>
        <w:tc>
          <w:tcPr>
            <w:tcW w:w="2088" w:type="dxa"/>
          </w:tcPr>
          <w:p w14:paraId="5C860248" w14:textId="77777777" w:rsidR="002E54F0" w:rsidRDefault="002E54F0" w:rsidP="009D7BA6">
            <w:r>
              <w:rPr>
                <w:sz w:val="15"/>
              </w:rPr>
              <w:t>Sonic Genetics NIPT</w:t>
            </w:r>
          </w:p>
        </w:tc>
        <w:tc>
          <w:tcPr>
            <w:tcW w:w="2448" w:type="dxa"/>
          </w:tcPr>
          <w:p w14:paraId="1C12747A" w14:textId="77777777" w:rsidR="002E54F0" w:rsidRDefault="002E54F0" w:rsidP="009D7BA6">
            <w:r>
              <w:rPr>
                <w:sz w:val="15"/>
              </w:rPr>
              <w:t>Sonic Genetics / Sonic Healthcare</w:t>
            </w:r>
          </w:p>
        </w:tc>
        <w:tc>
          <w:tcPr>
            <w:tcW w:w="4392" w:type="dxa"/>
          </w:tcPr>
          <w:p w14:paraId="0B0B2A84" w14:textId="77777777" w:rsidR="002E54F0" w:rsidRDefault="002E54F0" w:rsidP="009D7BA6">
            <w:r>
              <w:rPr>
                <w:sz w:val="15"/>
              </w:rPr>
              <w:t>Yes – post-test genetic counselling is available for eligible patients following a high-probability result; access is generally arranged through the requesting doctor.</w:t>
            </w:r>
          </w:p>
        </w:tc>
        <w:tc>
          <w:tcPr>
            <w:tcW w:w="3672" w:type="dxa"/>
          </w:tcPr>
          <w:p w14:paraId="466AB44A" w14:textId="77777777" w:rsidR="002E54F0" w:rsidRDefault="002E54F0" w:rsidP="009D7BA6">
            <w:r>
              <w:rPr>
                <w:sz w:val="15"/>
              </w:rPr>
              <w:t>Sonic Genetics: 1800 010 447. Requesting doctor generally arranges post-test counselling.</w:t>
            </w:r>
          </w:p>
        </w:tc>
        <w:tc>
          <w:tcPr>
            <w:tcW w:w="2880" w:type="dxa"/>
          </w:tcPr>
          <w:p w14:paraId="0693466A" w14:textId="77777777" w:rsidR="002E54F0" w:rsidRDefault="002E54F0" w:rsidP="009D7BA6">
            <w:hyperlink r:id="rId11">
              <w:r>
                <w:rPr>
                  <w:color w:val="0563C1"/>
                  <w:u w:val="single"/>
                </w:rPr>
                <w:t>Sonic Genetics – NIPT</w:t>
              </w:r>
            </w:hyperlink>
          </w:p>
        </w:tc>
      </w:tr>
      <w:tr w:rsidR="002E54F0" w14:paraId="57F93345" w14:textId="77777777" w:rsidTr="009D7BA6">
        <w:trPr>
          <w:jc w:val="center"/>
        </w:trPr>
        <w:tc>
          <w:tcPr>
            <w:tcW w:w="2088" w:type="dxa"/>
          </w:tcPr>
          <w:p w14:paraId="518CA603" w14:textId="77777777" w:rsidR="002E54F0" w:rsidRDefault="002E54F0" w:rsidP="009D7BA6">
            <w:r>
              <w:rPr>
                <w:sz w:val="15"/>
              </w:rPr>
              <w:lastRenderedPageBreak/>
              <w:t>NIFTY / NIFTY Pro</w:t>
            </w:r>
          </w:p>
        </w:tc>
        <w:tc>
          <w:tcPr>
            <w:tcW w:w="2448" w:type="dxa"/>
          </w:tcPr>
          <w:p w14:paraId="1BC9947D" w14:textId="77777777" w:rsidR="002E54F0" w:rsidRDefault="002E54F0" w:rsidP="009D7BA6">
            <w:r>
              <w:rPr>
                <w:sz w:val="15"/>
              </w:rPr>
              <w:t>Genomics For Life / BGI</w:t>
            </w:r>
          </w:p>
        </w:tc>
        <w:tc>
          <w:tcPr>
            <w:tcW w:w="4392" w:type="dxa"/>
          </w:tcPr>
          <w:p w14:paraId="1F523942" w14:textId="77777777" w:rsidR="002E54F0" w:rsidRDefault="002E54F0" w:rsidP="009D7BA6">
            <w:r>
              <w:rPr>
                <w:sz w:val="15"/>
              </w:rPr>
              <w:t xml:space="preserve">Dedicated/free post-NIPT genetic counselling pathway </w:t>
            </w:r>
            <w:proofErr w:type="gramStart"/>
            <w:r>
              <w:rPr>
                <w:sz w:val="15"/>
              </w:rPr>
              <w:t>not</w:t>
            </w:r>
            <w:proofErr w:type="gramEnd"/>
            <w:r>
              <w:rPr>
                <w:sz w:val="15"/>
              </w:rPr>
              <w:t xml:space="preserve"> clearly confirmed in the public information reviewed. Contact provider to clarify current arrangements.</w:t>
            </w:r>
          </w:p>
        </w:tc>
        <w:tc>
          <w:tcPr>
            <w:tcW w:w="3672" w:type="dxa"/>
          </w:tcPr>
          <w:p w14:paraId="306B5525" w14:textId="77777777" w:rsidR="002E54F0" w:rsidRDefault="002E54F0" w:rsidP="009D7BA6">
            <w:r>
              <w:rPr>
                <w:sz w:val="15"/>
              </w:rPr>
              <w:t>Genomics For Life: 1800 445 433; patientcare@genomicsforlife.com.au.</w:t>
            </w:r>
          </w:p>
        </w:tc>
        <w:tc>
          <w:tcPr>
            <w:tcW w:w="2880" w:type="dxa"/>
          </w:tcPr>
          <w:p w14:paraId="20AE40D0" w14:textId="77777777" w:rsidR="002E54F0" w:rsidRDefault="002E54F0" w:rsidP="009D7BA6">
            <w:hyperlink r:id="rId12">
              <w:r>
                <w:rPr>
                  <w:color w:val="0563C1"/>
                  <w:u w:val="single"/>
                </w:rPr>
                <w:t>Genomics For Life – Contact</w:t>
              </w:r>
            </w:hyperlink>
          </w:p>
        </w:tc>
      </w:tr>
    </w:tbl>
    <w:p w14:paraId="0E30B164" w14:textId="77777777" w:rsidR="002E54F0" w:rsidRDefault="002E54F0" w:rsidP="002E54F0"/>
    <w:p w14:paraId="7D11FC33" w14:textId="77777777" w:rsidR="002E54F0" w:rsidRDefault="002E54F0" w:rsidP="002E54F0">
      <w:r>
        <w:rPr>
          <w:b/>
          <w:sz w:val="20"/>
        </w:rPr>
        <w:t>Additional context</w:t>
      </w:r>
    </w:p>
    <w:p w14:paraId="36053D8B" w14:textId="77777777" w:rsidR="002E54F0" w:rsidRDefault="002E54F0" w:rsidP="002E54F0">
      <w:r>
        <w:t>A 2025 Australian PRECISE Genomics resource lists genetic counselling after a high-probability result for Harmony, Sonic Genetics, percept, Generation and Panorama, while arrangements and costs differ between providers. Provider websites should be checked for current eligibility and referral requirements.</w:t>
      </w:r>
    </w:p>
    <w:p w14:paraId="4C39135F" w14:textId="77777777" w:rsidR="002333C8" w:rsidRDefault="002333C8"/>
    <w:sectPr w:rsidR="002333C8" w:rsidSect="00F37769">
      <w:headerReference w:type="default" r:id="rId13"/>
      <w:pgSz w:w="16838" w:h="11906" w:orient="landscape"/>
      <w:pgMar w:top="2381" w:right="1440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0318F" w14:textId="77777777" w:rsidR="009B236A" w:rsidRDefault="009B236A" w:rsidP="00F37769">
      <w:pPr>
        <w:spacing w:after="0" w:line="240" w:lineRule="auto"/>
      </w:pPr>
      <w:r>
        <w:separator/>
      </w:r>
    </w:p>
  </w:endnote>
  <w:endnote w:type="continuationSeparator" w:id="0">
    <w:p w14:paraId="6A55F993" w14:textId="77777777" w:rsidR="009B236A" w:rsidRDefault="009B236A" w:rsidP="00F37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990FA" w14:textId="77777777" w:rsidR="009B236A" w:rsidRDefault="009B236A" w:rsidP="00F37769">
      <w:pPr>
        <w:spacing w:after="0" w:line="240" w:lineRule="auto"/>
      </w:pPr>
      <w:r>
        <w:separator/>
      </w:r>
    </w:p>
  </w:footnote>
  <w:footnote w:type="continuationSeparator" w:id="0">
    <w:p w14:paraId="7EAAE9E8" w14:textId="77777777" w:rsidR="009B236A" w:rsidRDefault="009B236A" w:rsidP="00F37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3816" w14:textId="1C400DFA" w:rsidR="00F37769" w:rsidRDefault="00F3776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64E52B" wp14:editId="5E813910">
          <wp:simplePos x="0" y="0"/>
          <wp:positionH relativeFrom="column">
            <wp:posOffset>-564405</wp:posOffset>
          </wp:positionH>
          <wp:positionV relativeFrom="paragraph">
            <wp:posOffset>-437290</wp:posOffset>
          </wp:positionV>
          <wp:extent cx="10695778" cy="7561690"/>
          <wp:effectExtent l="0" t="0" r="0" b="1270"/>
          <wp:wrapNone/>
          <wp:docPr id="782949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94964" name="Picture 782949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5778" cy="7561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769"/>
    <w:rsid w:val="001C3DF2"/>
    <w:rsid w:val="002333C8"/>
    <w:rsid w:val="002E54F0"/>
    <w:rsid w:val="006506E6"/>
    <w:rsid w:val="00700B07"/>
    <w:rsid w:val="009B236A"/>
    <w:rsid w:val="00B1225B"/>
    <w:rsid w:val="00B95959"/>
    <w:rsid w:val="00D10FDF"/>
    <w:rsid w:val="00E728EE"/>
    <w:rsid w:val="00F3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6D789"/>
  <w15:chartTrackingRefBased/>
  <w15:docId w15:val="{C7DFDC4F-BAB0-438E-864D-23F571AA1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4F0"/>
    <w:pPr>
      <w:spacing w:after="200" w:line="276" w:lineRule="auto"/>
    </w:pPr>
    <w:rPr>
      <w:rFonts w:ascii="Arial" w:eastAsiaTheme="minorEastAsia" w:hAnsi="Arial"/>
      <w:sz w:val="17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7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7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7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7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7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7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7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7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7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7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7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7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7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7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7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7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7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76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7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769"/>
  </w:style>
  <w:style w:type="paragraph" w:styleId="Footer">
    <w:name w:val="footer"/>
    <w:basedOn w:val="Normal"/>
    <w:link w:val="FooterChar"/>
    <w:uiPriority w:val="99"/>
    <w:unhideWhenUsed/>
    <w:rsid w:val="00F37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769"/>
  </w:style>
  <w:style w:type="table" w:styleId="TableGrid">
    <w:name w:val="Table Grid"/>
    <w:basedOn w:val="TableNormal"/>
    <w:uiPriority w:val="59"/>
    <w:rsid w:val="002E54F0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gs.org.au/percept-nipt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antenatal.clinicallabs.com.au/doctor/harmony" TargetMode="External"/><Relationship Id="rId12" Type="http://schemas.openxmlformats.org/officeDocument/2006/relationships/hyperlink" Target="https://genomicsforlife.com.au/contact-u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enomicdiagnostics.com.au/genetic-counselling/" TargetMode="External"/><Relationship Id="rId11" Type="http://schemas.openxmlformats.org/officeDocument/2006/relationships/hyperlink" Target="https://www.sonicgenetics.com.au/patient/test-information/nipt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virtusgenetics.com.au/clinicans-genetic-counselling-and-support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onashivf.com/services/genetic-testing/nipt-non-invasive-prenatal-testin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626</Words>
  <Characters>2864</Characters>
  <Application>Microsoft Office Word</Application>
  <DocSecurity>0</DocSecurity>
  <Lines>43</Lines>
  <Paragraphs>15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Long</dc:creator>
  <cp:keywords/>
  <dc:description/>
  <cp:lastModifiedBy>Sarah Long</cp:lastModifiedBy>
  <cp:revision>3</cp:revision>
  <dcterms:created xsi:type="dcterms:W3CDTF">2026-08-29T05:47:00Z</dcterms:created>
  <dcterms:modified xsi:type="dcterms:W3CDTF">2026-08-29T05:51:00Z</dcterms:modified>
</cp:coreProperties>
</file>